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49" w:rsidRPr="00E055E8" w:rsidRDefault="00EA2B49" w:rsidP="00EA2B49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  <w:r>
        <w:rPr>
          <w:rFonts w:cs="Humanst521EU"/>
          <w:b/>
          <w:bCs/>
          <w:color w:val="000000"/>
          <w:szCs w:val="28"/>
          <w:lang w:val="pl-PL"/>
        </w:rPr>
        <w:t xml:space="preserve">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EA2B49" w:rsidRPr="00E055E8" w:rsidRDefault="00EA2B49" w:rsidP="00EA2B49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EA2B49" w:rsidRPr="006A40DF" w:rsidTr="005D146A">
        <w:trPr>
          <w:trHeight w:val="156"/>
        </w:trPr>
        <w:tc>
          <w:tcPr>
            <w:tcW w:w="1696" w:type="dxa"/>
            <w:vMerge w:val="restart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EA2B49" w:rsidRPr="006A40DF" w:rsidTr="005D146A">
        <w:trPr>
          <w:trHeight w:val="84"/>
        </w:trPr>
        <w:tc>
          <w:tcPr>
            <w:tcW w:w="1696" w:type="dxa"/>
            <w:vMerge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6A40DF" w:rsidRDefault="00EA2B49" w:rsidP="005D146A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EA2B49" w:rsidRPr="006A40DF" w:rsidRDefault="00EA2B49" w:rsidP="005D146A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EA2B49" w:rsidRPr="008306A5" w:rsidTr="005D146A">
        <w:tc>
          <w:tcPr>
            <w:tcW w:w="1696" w:type="dxa"/>
            <w:vMerge w:val="restart"/>
            <w:textDirection w:val="btLr"/>
          </w:tcPr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EA2B49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BC2DA8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EA2B49" w:rsidRPr="00BC2DA8" w:rsidRDefault="00EA2B49" w:rsidP="005D146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2B49" w:rsidRPr="00824E6F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1. </w:t>
            </w:r>
            <w:r w:rsidR="00CC1734" w:rsidRPr="00CC17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Zapoznanie z PZO, regulaminem pracowni, zasadami BHP na lekcjach biologii. Jak się uczyć? Poznajemy królestwo zwierząt.</w:t>
            </w:r>
          </w:p>
          <w:p w:rsidR="00EA2B49" w:rsidRPr="00BC2DA8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BC2DA8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BC2DA8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EA2B49" w:rsidRPr="00BC2DA8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BC2DA8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824E6F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2. </w:t>
            </w:r>
            <w:r w:rsidR="00CC1734" w:rsidRPr="00CC17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Charakteryzujemy tkanki zwierzęce (nabłonkowa, mięśniowa i nerwowa)</w:t>
            </w:r>
          </w:p>
          <w:p w:rsidR="00EA2B49" w:rsidRPr="00BC2DA8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824E6F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3. </w:t>
            </w:r>
            <w:r w:rsidR="00CC1734" w:rsidRPr="00CC17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tkanki łączne</w:t>
            </w:r>
          </w:p>
          <w:p w:rsidR="00EA2B49" w:rsidRPr="00BC2DA8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EA2B49" w:rsidRPr="00BC2DA8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C67385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824E6F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06132B" w:rsidRPr="000613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płazińce – zwierzęta, które mają płaskie ciało.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7225BA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06132B" w:rsidRPr="000613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Omawiamy nicienie – zwierzęta, które mają nitkowate ciało.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510BE1" w:rsidRDefault="00EA2B49" w:rsidP="005D146A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6. </w:t>
            </w:r>
            <w:r w:rsidR="0006132B" w:rsidRPr="000613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Charakteryzujemy pierścienice – zwierzęta, które mają segmentowane ciało.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EA2B49" w:rsidRPr="008306A5" w:rsidTr="005D146A">
        <w:tc>
          <w:tcPr>
            <w:tcW w:w="1696" w:type="dxa"/>
            <w:vMerge w:val="restart"/>
            <w:textDirection w:val="btLr"/>
          </w:tcPr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EA2B49">
            <w:pPr>
              <w:pStyle w:val="Pa20"/>
              <w:numPr>
                <w:ilvl w:val="0"/>
                <w:numId w:val="40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EA2B49" w:rsidRPr="009731FD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EA2B49" w:rsidRPr="009731FD" w:rsidRDefault="00EA2B49" w:rsidP="005D146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2B49" w:rsidRPr="009731FD" w:rsidRDefault="00EA2B49" w:rsidP="005D146A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774524" w:rsidRPr="007745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Poznajemy cechy stawonogów.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774524" w:rsidRPr="00774524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Omawiamy skorupiaki – stawonogi, które mają twardy </w:t>
            </w:r>
            <w:r w:rsidR="00774524" w:rsidRPr="00774524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lastRenderedPageBreak/>
              <w:t>pancerz.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EA2B49" w:rsidRPr="007225BA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EA2B49" w:rsidRPr="007225BA" w:rsidRDefault="00EA2B49" w:rsidP="005D146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2B49" w:rsidRPr="00C67385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</w:t>
            </w:r>
            <w:r w:rsidR="00B756DE" w:rsidRPr="00B756D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Charakteryzujemy owady – stawonogi zdolne do lotu.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2325BC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</w:t>
            </w:r>
            <w:r w:rsidR="00B756DE" w:rsidRPr="00B756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pajęczaki – stawonogi, które mają cztery pary odnóży.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2325BC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12. </w:t>
            </w:r>
            <w:r w:rsidR="00B756DE" w:rsidRPr="00B756D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Charakteryzujemy mięczaki.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B756DE" w:rsidRPr="008306A5" w:rsidTr="005D146A">
        <w:tc>
          <w:tcPr>
            <w:tcW w:w="1696" w:type="dxa"/>
          </w:tcPr>
          <w:p w:rsidR="00B756DE" w:rsidRPr="00E055E8" w:rsidRDefault="00B756DE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B756DE" w:rsidRPr="002325BC" w:rsidRDefault="00B756DE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56DE" w:rsidRDefault="00B756DE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56DE" w:rsidRDefault="00B756DE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56DE" w:rsidRDefault="00B756DE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B756DE" w:rsidRDefault="00B756DE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B756DE" w:rsidRDefault="00B756DE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49" w:rsidRPr="008306A5" w:rsidTr="005D146A">
        <w:tc>
          <w:tcPr>
            <w:tcW w:w="1696" w:type="dxa"/>
            <w:vMerge w:val="restart"/>
            <w:textDirection w:val="btLr"/>
          </w:tcPr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EA2B49" w:rsidRPr="009731FD" w:rsidRDefault="00EA2B49" w:rsidP="005D146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EA2B49" w:rsidRPr="00C67385" w:rsidRDefault="00EA2B49" w:rsidP="005D146A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2325BC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</w:t>
            </w:r>
            <w:r w:rsidR="00372CE6" w:rsidRPr="00372C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ryby – kręgowce środowisk wodnych.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2325BC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14. </w:t>
            </w:r>
            <w:r w:rsidR="00372CE6" w:rsidRPr="00372CE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Omawiamy różnorodność i znaczenie ryb.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gatunków ryb przedstawionych w podręczniku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ryby dwuśrodowiskowej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wymienia kilka nazw gatunkowych ryb żyjących w Bałtyku</w:t>
            </w:r>
          </w:p>
        </w:tc>
        <w:tc>
          <w:tcPr>
            <w:tcW w:w="2093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F35739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</w:t>
            </w:r>
            <w:r w:rsidR="00372CE6" w:rsidRPr="00372CE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Poznajemy płazy – kręgowce wodno-lądowe.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B000C5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16. </w:t>
            </w:r>
            <w:r w:rsidR="00C13F37" w:rsidRPr="00C13F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różnorodność i znaczenie płazów.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17. </w:t>
            </w:r>
            <w:r w:rsidR="00DD3DCE" w:rsidRPr="00DD3DC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Omawiamy gady – kręgowce, które opanowały ląd.</w:t>
            </w:r>
          </w:p>
        </w:tc>
        <w:tc>
          <w:tcPr>
            <w:tcW w:w="1985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B000C5" w:rsidRDefault="00EA2B49" w:rsidP="005D146A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</w:t>
            </w:r>
            <w:r w:rsidR="00DD3DCE" w:rsidRPr="00DD3D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Poznajemy różnorodność i znaczenie gadów.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7E22A1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 w:val="restart"/>
            <w:textDirection w:val="btLr"/>
          </w:tcPr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1C74EA" w:rsidRDefault="00EA2B49" w:rsidP="00EA2B49">
            <w:pPr>
              <w:pStyle w:val="Akapitzlist"/>
              <w:numPr>
                <w:ilvl w:val="0"/>
                <w:numId w:val="40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E055E8" w:rsidRDefault="00EA2B49" w:rsidP="005D146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EA2B49" w:rsidRPr="009731FD" w:rsidRDefault="00EA2B49" w:rsidP="005D146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</w:t>
            </w:r>
            <w:r w:rsidR="00BA6267" w:rsidRPr="00BA626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Charakteryzujemy ptaki – kręgowce zdolne do lotu.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EA2B49" w:rsidRPr="00E055E8" w:rsidRDefault="00EA2B49" w:rsidP="005D146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lub podczas obserwacji w terenie rozpoznaje gatunki ptaków zamieszkujących najbliższą okolicę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</w:t>
            </w:r>
            <w:r w:rsidR="00BA6267" w:rsidRPr="00BA626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Poznajemy różnorodność i znaczenie ptaków.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dla ptaków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rodzajem spożywanego przez nie pokarmu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środowiskiem i trybem ich życia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RPr="008306A5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</w:t>
            </w:r>
            <w:r w:rsidR="00BA6267">
              <w:t xml:space="preserve"> </w:t>
            </w:r>
            <w:r w:rsidR="00BA6267" w:rsidRPr="00BA626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Omawiamy ssaki – kręgowce, które karmią młode mlekiem.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EA2B49" w:rsidRPr="00E055E8" w:rsidRDefault="00EA2B49" w:rsidP="005D146A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EA2B49" w:rsidTr="005D146A">
        <w:tc>
          <w:tcPr>
            <w:tcW w:w="1696" w:type="dxa"/>
            <w:vMerge/>
          </w:tcPr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</w:t>
            </w:r>
            <w:r w:rsidR="00997758" w:rsidRPr="00997758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Poznajemy różnorodność i znaczenie ssaków.</w:t>
            </w:r>
          </w:p>
        </w:tc>
        <w:tc>
          <w:tcPr>
            <w:tcW w:w="198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B49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EA2B49" w:rsidRPr="00E055E8" w:rsidRDefault="00EA2B49" w:rsidP="005D146A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EA2B49" w:rsidRPr="009731FD" w:rsidRDefault="00EA2B49" w:rsidP="005D1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EA2B49" w:rsidRPr="009731FD" w:rsidRDefault="00EA2B49" w:rsidP="005D146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EA2B49" w:rsidRPr="006A40DF" w:rsidRDefault="00EA2B49" w:rsidP="00EA2B49">
      <w:pPr>
        <w:contextualSpacing/>
        <w:rPr>
          <w:sz w:val="20"/>
        </w:rPr>
      </w:pPr>
    </w:p>
    <w:p w:rsidR="00EA2B49" w:rsidRPr="003B1545" w:rsidRDefault="00EA2B49" w:rsidP="00EA2B49"/>
    <w:p w:rsidR="003B1545" w:rsidRPr="006A40DF" w:rsidRDefault="003B1545" w:rsidP="003B1545">
      <w:pPr>
        <w:contextualSpacing/>
        <w:rPr>
          <w:sz w:val="20"/>
        </w:rPr>
      </w:pPr>
    </w:p>
    <w:p w:rsidR="00926E04" w:rsidRDefault="00926E04" w:rsidP="00926E04">
      <w:pPr>
        <w:rPr>
          <w:rFonts w:ascii="Arial" w:hAnsi="Arial" w:cs="Arial"/>
        </w:rPr>
      </w:pPr>
      <w:r>
        <w:rPr>
          <w:rFonts w:ascii="Arial" w:hAnsi="Arial" w:cs="Arial"/>
        </w:rPr>
        <w:t>„Jak oceniam?”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926E04" w:rsidTr="005141A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Nauczyciel: Anna Nowak</w:t>
            </w:r>
          </w:p>
        </w:tc>
      </w:tr>
      <w:tr w:rsidR="00926E04" w:rsidTr="005141A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3D3407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 VI</w:t>
            </w:r>
          </w:p>
        </w:tc>
      </w:tr>
      <w:tr w:rsidR="00926E04" w:rsidTr="005141A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Przedmiot: biologia</w:t>
            </w:r>
          </w:p>
        </w:tc>
      </w:tr>
      <w:tr w:rsidR="00926E04" w:rsidTr="005141A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Program: </w:t>
            </w:r>
            <w:r w:rsidRPr="00083CB9">
              <w:rPr>
                <w:rFonts w:ascii="Arial" w:hAnsi="Arial" w:cs="Arial"/>
              </w:rPr>
              <w:t>„Puls życia” wyd. Nowa Era</w:t>
            </w:r>
          </w:p>
        </w:tc>
      </w:tr>
      <w:tr w:rsidR="00926E04" w:rsidTr="005141AD">
        <w:trPr>
          <w:trHeight w:val="464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Wyposażenie ucznia: podręcznik, </w:t>
            </w:r>
            <w:r w:rsidR="006712C9">
              <w:rPr>
                <w:rFonts w:ascii="Arial" w:hAnsi="Arial" w:cs="Arial"/>
              </w:rPr>
              <w:t xml:space="preserve">ćwiczenia, </w:t>
            </w:r>
            <w:r>
              <w:rPr>
                <w:rFonts w:ascii="Arial" w:hAnsi="Arial" w:cs="Arial"/>
              </w:rPr>
              <w:t>zeszyt</w:t>
            </w:r>
          </w:p>
        </w:tc>
      </w:tr>
      <w:tr w:rsidR="00926E04" w:rsidTr="005141AD">
        <w:trPr>
          <w:trHeight w:val="340"/>
          <w:jc w:val="center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Sprawdzanie wiadomości i umiejętności: </w:t>
            </w:r>
          </w:p>
        </w:tc>
      </w:tr>
    </w:tbl>
    <w:p w:rsidR="00926E04" w:rsidRDefault="00926E04" w:rsidP="00926E04">
      <w:pPr>
        <w:jc w:val="both"/>
        <w:rPr>
          <w:rFonts w:ascii="Arial" w:hAnsi="Arial" w:cs="Arial"/>
          <w:sz w:val="1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7248"/>
        <w:gridCol w:w="1474"/>
      </w:tblGrid>
      <w:tr w:rsidR="00926E04" w:rsidTr="005141AD">
        <w:trPr>
          <w:cantSplit/>
          <w:trHeight w:val="34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04" w:rsidRDefault="00926E04" w:rsidP="005141A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26E04" w:rsidRDefault="00926E04" w:rsidP="005141AD">
            <w:pPr>
              <w:pStyle w:val="Nagwek3"/>
              <w:rPr>
                <w:sz w:val="20"/>
              </w:rPr>
            </w:pPr>
            <w:r>
              <w:rPr>
                <w:sz w:val="20"/>
              </w:rPr>
              <w:t>Forma sprawdzania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26E04" w:rsidRDefault="00926E04" w:rsidP="005141AD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Ile razy?</w:t>
            </w:r>
          </w:p>
        </w:tc>
      </w:tr>
      <w:tr w:rsidR="00926E04" w:rsidTr="005141AD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Default="00926E04" w:rsidP="005141A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926E04" w:rsidRDefault="00926E04" w:rsidP="005141A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26E04" w:rsidTr="005141AD">
        <w:trPr>
          <w:cantSplit/>
          <w:trHeight w:val="39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E04" w:rsidRPr="00643822" w:rsidRDefault="00926E04" w:rsidP="005141AD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both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Sprawdziany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center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4/rok</w:t>
            </w:r>
          </w:p>
        </w:tc>
      </w:tr>
      <w:tr w:rsidR="00926E04" w:rsidTr="005141AD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both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Odpowiedzi ustne (wiadomości z 3 ostatnich lekcji).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C350BF" w:rsidP="00514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1/rok</w:t>
            </w:r>
            <w:r w:rsidR="00926E04" w:rsidRPr="00643822">
              <w:rPr>
                <w:sz w:val="22"/>
                <w:szCs w:val="22"/>
              </w:rPr>
              <w:t>.</w:t>
            </w:r>
          </w:p>
        </w:tc>
      </w:tr>
      <w:tr w:rsidR="00926E04" w:rsidTr="005141AD">
        <w:trPr>
          <w:cantSplit/>
          <w:trHeight w:val="397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both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Kartkówki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center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min. 2/sem.</w:t>
            </w:r>
          </w:p>
        </w:tc>
      </w:tr>
      <w:tr w:rsidR="00926E04" w:rsidTr="005141AD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E04" w:rsidRPr="00643822" w:rsidRDefault="00926E04" w:rsidP="005141AD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both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Aktywność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center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min. 1/sem.</w:t>
            </w:r>
          </w:p>
        </w:tc>
      </w:tr>
      <w:tr w:rsidR="00926E04" w:rsidTr="005141AD">
        <w:trPr>
          <w:cantSplit/>
          <w:trHeight w:val="4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6E04" w:rsidRPr="00643822" w:rsidRDefault="00926E04" w:rsidP="005141AD">
            <w:pPr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both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Proste doświadczenia i eksperymenty</w:t>
            </w:r>
            <w:r w:rsidR="00EE77CD">
              <w:rPr>
                <w:sz w:val="22"/>
                <w:szCs w:val="22"/>
              </w:rPr>
              <w:t>, modele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jc w:val="center"/>
              <w:rPr>
                <w:sz w:val="22"/>
                <w:szCs w:val="22"/>
              </w:rPr>
            </w:pPr>
            <w:r w:rsidRPr="00643822">
              <w:rPr>
                <w:sz w:val="22"/>
                <w:szCs w:val="22"/>
              </w:rPr>
              <w:t>min. 1/rok</w:t>
            </w:r>
          </w:p>
        </w:tc>
      </w:tr>
      <w:tr w:rsidR="00926E04" w:rsidTr="005141AD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04" w:rsidRPr="00643822" w:rsidRDefault="00926E04" w:rsidP="005141AD">
            <w:pPr>
              <w:pStyle w:val="Tekstpodstawowy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38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Jeśli uczeń był nieobecny na sprawdzianie (teście, pracy klasowej):</w:t>
            </w:r>
          </w:p>
        </w:tc>
      </w:tr>
      <w:tr w:rsidR="00643822" w:rsidRPr="00173E2C" w:rsidTr="002069A2">
        <w:trPr>
          <w:trHeight w:val="51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Pr="00173E2C" w:rsidRDefault="00643822" w:rsidP="002069A2">
            <w:pPr>
              <w:jc w:val="both"/>
            </w:pPr>
            <w:r w:rsidRPr="00173E2C">
              <w:t>Uczeń ustala termin na najbliższej lekcji i pisze sprawdzian, kartkówkę najpóźniej w ciągu 2 tygodni. Każda kartkówka i sprawdzian muszą zostać zaliczone w formie ustalonej z nauczycielem. Brak zaliczenia pracy pisemnej nauczyciel oznacza wpisując w rubrykę ocen „0”. Po upływie dwóch tygodni, od pojawienia się takiego wpisu w dzienniku i/lub powrotu ucznia po dłuższej nieobecności do szkoły, nauczyciel wpisuje w miejsce „0” ocenę ndst.</w:t>
            </w:r>
          </w:p>
        </w:tc>
      </w:tr>
      <w:tr w:rsidR="00643822" w:rsidTr="002069A2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Default="00643822" w:rsidP="002069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 oceniam:</w:t>
            </w:r>
          </w:p>
          <w:p w:rsidR="00643822" w:rsidRDefault="00643822" w:rsidP="002069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A2B49" w:rsidTr="00597705">
        <w:trPr>
          <w:trHeight w:val="39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EA2B49" w:rsidRDefault="00EA2B49" w:rsidP="002069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na zajęciach</w:t>
            </w:r>
          </w:p>
        </w:tc>
      </w:tr>
      <w:tr w:rsidR="00EA2B49" w:rsidRPr="000F30F3" w:rsidTr="00461551">
        <w:trPr>
          <w:trHeight w:val="567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49" w:rsidRPr="000F30F3" w:rsidRDefault="00EA2B49" w:rsidP="002069A2">
            <w:pPr>
              <w:pStyle w:val="Bezodstpw"/>
            </w:pPr>
            <w:r w:rsidRPr="000F30F3">
              <w:t>Twórcze rozwiązywanie problemów w sytuacjach nietypowych – ocena cel.</w:t>
            </w:r>
          </w:p>
          <w:p w:rsidR="00EA2B49" w:rsidRPr="00173E2C" w:rsidRDefault="00EA2B49" w:rsidP="002069A2">
            <w:pPr>
              <w:pStyle w:val="Bezodstpw"/>
            </w:pPr>
            <w:r w:rsidRPr="000F30F3">
              <w:t>Duża aktywność, pomysłowość, twórcze rozwiązywanie problemów- ocena bdb</w:t>
            </w:r>
            <w:r>
              <w:t xml:space="preserve">. </w:t>
            </w:r>
            <w:r w:rsidRPr="000F30F3">
              <w:t>Brak pracy wynikający z lenistwa i nieuwagi – ocena ndst – uczeń nie pracuje na lekcji, nie potrafi odpowiedzieć na proste pytanie na podstawie przeczytanego tekstu ze zrozumieniem, nie wypełnia wskazanych przez nauczyciela prostych ćwiczeń zawartych w zeszycie, nawet po wskazówkach nauczyciela nie podejmuje próby rozwiązywania  postawionych problemów.</w:t>
            </w:r>
          </w:p>
          <w:p w:rsidR="00EA2B49" w:rsidRPr="000F30F3" w:rsidRDefault="00EA2B49" w:rsidP="002069A2">
            <w:pPr>
              <w:jc w:val="both"/>
            </w:pPr>
            <w:r w:rsidRPr="000F30F3">
              <w:t>Pozostałe oceny w zależności od wkładu pracy i możliwości ucznia.</w:t>
            </w:r>
          </w:p>
        </w:tc>
      </w:tr>
      <w:tr w:rsidR="00643822" w:rsidRPr="000F30F3" w:rsidTr="002069A2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Pr="000F30F3" w:rsidRDefault="00643822" w:rsidP="002069A2">
            <w:pPr>
              <w:jc w:val="both"/>
              <w:rPr>
                <w:b/>
                <w:bCs/>
              </w:rPr>
            </w:pPr>
            <w:r w:rsidRPr="000F30F3">
              <w:rPr>
                <w:b/>
                <w:bCs/>
              </w:rPr>
              <w:t>Zasady poprawiania ocen:</w:t>
            </w:r>
          </w:p>
        </w:tc>
      </w:tr>
      <w:tr w:rsidR="00643822" w:rsidRPr="000F30F3" w:rsidTr="002069A2">
        <w:trPr>
          <w:trHeight w:val="508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Pr="000F30F3" w:rsidRDefault="00643822" w:rsidP="002069A2">
            <w:pPr>
              <w:jc w:val="both"/>
            </w:pPr>
            <w:r w:rsidRPr="000F30F3">
              <w:lastRenderedPageBreak/>
              <w:t>Testy oraz dłuższe prace pisemne (zapowiedziane) mogą być poprawione w ciągu 2 tygodni od otrzymania.</w:t>
            </w:r>
          </w:p>
        </w:tc>
      </w:tr>
      <w:tr w:rsidR="00643822" w:rsidRPr="000F30F3" w:rsidTr="002069A2">
        <w:trPr>
          <w:trHeight w:val="28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Pr="000F30F3" w:rsidRDefault="00643822" w:rsidP="002069A2">
            <w:pPr>
              <w:jc w:val="both"/>
              <w:rPr>
                <w:b/>
                <w:bCs/>
              </w:rPr>
            </w:pPr>
            <w:r w:rsidRPr="000F30F3">
              <w:rPr>
                <w:b/>
                <w:bCs/>
              </w:rPr>
              <w:t>Wystawianie oceny półrocznej/rocznej:</w:t>
            </w:r>
          </w:p>
        </w:tc>
      </w:tr>
      <w:tr w:rsidR="00643822" w:rsidRPr="000F30F3" w:rsidTr="002069A2">
        <w:trPr>
          <w:trHeight w:val="851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22" w:rsidRPr="005572E4" w:rsidRDefault="00643822" w:rsidP="002069A2">
            <w:r w:rsidRPr="005572E4">
              <w:t xml:space="preserve">1.     Ocenę półroczną (roczną) wystawia nauczyciel w terminach zgodnych z </w:t>
            </w:r>
            <w:r>
              <w:t>zapisami</w:t>
            </w:r>
            <w:r w:rsidRPr="005572E4">
              <w:t xml:space="preserve"> WSO.</w:t>
            </w:r>
          </w:p>
          <w:p w:rsidR="00643822" w:rsidRPr="005572E4" w:rsidRDefault="00643822" w:rsidP="002069A2">
            <w:r w:rsidRPr="005572E4">
              <w:t>2.     Punkty uzyskane z prac klasowych</w:t>
            </w:r>
            <w:r>
              <w:t>, domowych</w:t>
            </w:r>
            <w:r w:rsidRPr="005572E4">
              <w:t xml:space="preserve"> i kartkówek przeliczane są na oceny wg. skali;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>
              <w:rPr>
                <w:rFonts w:eastAsia="Humanst521EU-Normal"/>
              </w:rPr>
              <w:t xml:space="preserve">100%  - </w:t>
            </w:r>
            <w:r w:rsidRPr="00620AD1">
              <w:rPr>
                <w:rFonts w:eastAsia="Humanst521EU-Normal"/>
              </w:rPr>
              <w:t>- cel.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>
              <w:rPr>
                <w:rFonts w:eastAsia="Humanst521EU-Normal"/>
              </w:rPr>
              <w:t xml:space="preserve">99 </w:t>
            </w:r>
            <w:r w:rsidRPr="00620AD1">
              <w:rPr>
                <w:rFonts w:eastAsia="Humanst521EU-Normal"/>
              </w:rPr>
              <w:t>% - 91% - bdb.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90% - 75% - db.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74% - 50% - dst.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49% - 30% - dop.</w:t>
            </w:r>
          </w:p>
          <w:p w:rsidR="006712C9" w:rsidRPr="00620AD1" w:rsidRDefault="006712C9" w:rsidP="006712C9">
            <w:pPr>
              <w:pStyle w:val="Bezodstpw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29% - 0% - ndst.</w:t>
            </w:r>
          </w:p>
          <w:p w:rsidR="00643822" w:rsidRPr="005572E4" w:rsidRDefault="00643822" w:rsidP="002069A2">
            <w:r w:rsidRPr="005572E4">
              <w:t>lub wg kryteriów sprawdzianów tzw. wielopoziomowych, na których uczeń zalicza zadania na ocenę kolejno dopuszczającą, dostateczną, dobrą, bardzo dobrą, celującą.</w:t>
            </w:r>
          </w:p>
          <w:p w:rsidR="00643822" w:rsidRPr="005572E4" w:rsidRDefault="00643822" w:rsidP="002069A2">
            <w:r w:rsidRPr="005572E4">
              <w:t>3.    Na ocenę półroczną (roczną) mają wpływ oceny cząstkowe wg następujących zasad:</w:t>
            </w:r>
          </w:p>
          <w:p w:rsidR="002D4C49" w:rsidRPr="00620AD1" w:rsidRDefault="002D4C49" w:rsidP="002D4C49">
            <w:pPr>
              <w:widowControl w:val="0"/>
              <w:autoSpaceDE w:val="0"/>
              <w:autoSpaceDN w:val="0"/>
              <w:rPr>
                <w:rFonts w:eastAsia="Humanst521EU-Normal"/>
                <w:b/>
              </w:rPr>
            </w:pPr>
            <w:r w:rsidRPr="00620AD1">
              <w:rPr>
                <w:rFonts w:eastAsia="Humanst521EU-Normal"/>
                <w:b/>
              </w:rPr>
              <w:t>Ocenę półroczną lub roczną nauczyciel wystawia w następujący sposób:</w:t>
            </w:r>
          </w:p>
          <w:p w:rsidR="002D4C49" w:rsidRPr="00620AD1" w:rsidRDefault="002D4C49" w:rsidP="002D4C4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Oceny ze sprawdzianów, prac podsumowujących dział, za wysokie lokaty w konkursach  mają „wagę” 3.</w:t>
            </w:r>
          </w:p>
          <w:p w:rsidR="002D4C49" w:rsidRPr="00620AD1" w:rsidRDefault="002D4C49" w:rsidP="002D4C4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Oceny za: kartkówki, odpowiedź ustną, doświadczenia, eksperymenty, prace indywidualne, projekty mają „wagę” 2.</w:t>
            </w:r>
          </w:p>
          <w:p w:rsidR="002D4C49" w:rsidRPr="00620AD1" w:rsidRDefault="002D4C49" w:rsidP="002D4C4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eastAsia="Humanst521EU-Normal"/>
              </w:rPr>
            </w:pPr>
            <w:r w:rsidRPr="00620AD1">
              <w:rPr>
                <w:rFonts w:eastAsia="Humanst521EU-Normal"/>
              </w:rPr>
              <w:t>Oceny za: aktywność na lekcji, pracę w grupach, pracę domową, pracę dodatkową, udział w konkursach, prowadzenie zeszytu ćwiczeń/zeszytu przedmiotowego mają „wagę” 1.</w:t>
            </w:r>
          </w:p>
          <w:p w:rsidR="00643822" w:rsidRPr="005572E4" w:rsidRDefault="00643822" w:rsidP="002069A2">
            <w:pPr>
              <w:rPr>
                <w:b/>
              </w:rPr>
            </w:pPr>
            <w:r w:rsidRPr="005572E4">
              <w:rPr>
                <w:b/>
              </w:rPr>
              <w:t>Wzór ustalający stopień półroczny/końcowy:</w:t>
            </w:r>
          </w:p>
          <w:p w:rsidR="00643822" w:rsidRPr="005572E4" w:rsidRDefault="00643822" w:rsidP="002069A2">
            <w:pPr>
              <w:jc w:val="center"/>
            </w:pPr>
            <w:r w:rsidRPr="005572E4">
              <w:t xml:space="preserve">(suma stopni wagi 1) + (suma stopni wagi 2) </w:t>
            </w:r>
            <w:r w:rsidRPr="005572E4">
              <w:sym w:font="Symbol" w:char="00D7"/>
            </w:r>
            <w:r w:rsidRPr="005572E4">
              <w:t xml:space="preserve"> 2 + (suma stopni wagi 3) </w:t>
            </w:r>
            <w:r w:rsidRPr="005572E4">
              <w:sym w:font="Symbol" w:char="00D7"/>
            </w:r>
            <w:r w:rsidRPr="005572E4">
              <w:t xml:space="preserve"> 3</w:t>
            </w:r>
          </w:p>
          <w:p w:rsidR="00643822" w:rsidRPr="005572E4" w:rsidRDefault="00643822" w:rsidP="002069A2">
            <w:pPr>
              <w:jc w:val="center"/>
            </w:pP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  <w:r w:rsidRPr="005572E4">
              <w:sym w:font="Symbol" w:char="00BE"/>
            </w:r>
          </w:p>
          <w:p w:rsidR="00643822" w:rsidRPr="005572E4" w:rsidRDefault="00643822" w:rsidP="002069A2">
            <w:pPr>
              <w:jc w:val="center"/>
            </w:pPr>
            <w:r w:rsidRPr="005572E4">
              <w:t xml:space="preserve">(liczba stopni wagi 1) + (liczba stopni wagi 2) </w:t>
            </w:r>
            <w:r w:rsidRPr="005572E4">
              <w:sym w:font="Symbol" w:char="00D7"/>
            </w:r>
            <w:r w:rsidRPr="005572E4">
              <w:t xml:space="preserve"> 2 + (liczba stopni wagi 3) </w:t>
            </w:r>
            <w:r w:rsidRPr="005572E4">
              <w:sym w:font="Symbol" w:char="00D7"/>
            </w:r>
            <w:r w:rsidRPr="005572E4">
              <w:t xml:space="preserve"> 3</w:t>
            </w:r>
          </w:p>
          <w:p w:rsidR="00643822" w:rsidRPr="005572E4" w:rsidRDefault="00643822" w:rsidP="002069A2"/>
          <w:p w:rsidR="00643822" w:rsidRPr="00D046DE" w:rsidRDefault="00643822" w:rsidP="002069A2">
            <w:pPr>
              <w:rPr>
                <w:b/>
              </w:rPr>
            </w:pPr>
            <w:r w:rsidRPr="00C11365">
              <w:rPr>
                <w:b/>
              </w:rPr>
              <w:t xml:space="preserve">Oceny </w:t>
            </w:r>
            <w:r w:rsidRPr="00D046DE">
              <w:rPr>
                <w:b/>
              </w:rPr>
              <w:t xml:space="preserve">semestralne i roczne są wystawiane </w:t>
            </w:r>
            <w:r w:rsidR="00EA2B49">
              <w:rPr>
                <w:b/>
              </w:rPr>
              <w:t xml:space="preserve">m.in. </w:t>
            </w:r>
            <w:r w:rsidRPr="00D046DE">
              <w:rPr>
                <w:b/>
              </w:rPr>
              <w:t>w oparciu o ocenę ważoną i wkładany przez ucznia wysiłek.</w:t>
            </w:r>
          </w:p>
          <w:tbl>
            <w:tblPr>
              <w:tblStyle w:val="Tabela-Siatka"/>
              <w:tblW w:w="907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0"/>
              <w:gridCol w:w="2835"/>
            </w:tblGrid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Lp.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Średnia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Stopień</w:t>
                  </w:r>
                </w:p>
              </w:tc>
            </w:tr>
            <w:tr w:rsidR="00643822" w:rsidRPr="00D046DE" w:rsidTr="002069A2">
              <w:trPr>
                <w:trHeight w:val="24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1.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r w:rsidRPr="00D046DE">
                    <w:t xml:space="preserve">od 0,00 do 1,60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niedostateczny</w:t>
                  </w:r>
                </w:p>
              </w:tc>
            </w:tr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lastRenderedPageBreak/>
                    <w:t>2.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r w:rsidRPr="00D046DE">
                    <w:t xml:space="preserve">od 1,61 do 2,60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dopuszczający</w:t>
                  </w:r>
                </w:p>
              </w:tc>
            </w:tr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3.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r w:rsidRPr="00D046DE">
                    <w:t>od 2,61 do 3,60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dostateczny</w:t>
                  </w:r>
                </w:p>
              </w:tc>
            </w:tr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4.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r w:rsidRPr="00D046DE">
                    <w:t xml:space="preserve">od 3,61 do 4,60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dobry</w:t>
                  </w:r>
                </w:p>
              </w:tc>
            </w:tr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5.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r w:rsidRPr="00D046DE">
                    <w:t xml:space="preserve">od 4,61 do …….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bardzo dobry</w:t>
                  </w:r>
                </w:p>
              </w:tc>
            </w:tr>
            <w:tr w:rsidR="00643822" w:rsidRPr="00D046DE" w:rsidTr="002069A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b/>
                    </w:rPr>
                  </w:pPr>
                  <w:r w:rsidRPr="00D046DE">
                    <w:rPr>
                      <w:b/>
                    </w:rPr>
                    <w:t>6.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AD50AA">
                  <w:r w:rsidRPr="00D046DE">
                    <w:t>od 5,20 lub osiągnięcia w konkursach przedmiotowych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3822" w:rsidRPr="00D046DE" w:rsidRDefault="00643822" w:rsidP="002069A2">
                  <w:pPr>
                    <w:rPr>
                      <w:i/>
                    </w:rPr>
                  </w:pPr>
                  <w:r w:rsidRPr="00D046DE">
                    <w:rPr>
                      <w:i/>
                    </w:rPr>
                    <w:t>celujący</w:t>
                  </w:r>
                </w:p>
              </w:tc>
            </w:tr>
          </w:tbl>
          <w:p w:rsidR="00643822" w:rsidRPr="00D046DE" w:rsidRDefault="00643822" w:rsidP="002069A2"/>
          <w:p w:rsidR="00643822" w:rsidRPr="000F30F3" w:rsidRDefault="00643822" w:rsidP="002069A2">
            <w:pPr>
              <w:jc w:val="both"/>
            </w:pPr>
            <w:r w:rsidRPr="000F30F3">
              <w:t>Jeżeli uczeń jes</w:t>
            </w:r>
            <w:r>
              <w:t>t laureatem konkursu biologiczne</w:t>
            </w:r>
            <w:r w:rsidRPr="000F30F3">
              <w:t xml:space="preserve">go LKO </w:t>
            </w:r>
            <w:r>
              <w:t xml:space="preserve">na szczeblu wojewódzkim i wyżej bądź laureatem konkursów ogólnopolskich o tematyce biologicznej, przyrodniczej, ekologicznej </w:t>
            </w:r>
            <w:r w:rsidRPr="000F30F3">
              <w:t>otrzymuje ocenę celującą.</w:t>
            </w:r>
          </w:p>
          <w:p w:rsidR="00643822" w:rsidRPr="00A35589" w:rsidRDefault="00643822" w:rsidP="002069A2">
            <w:pPr>
              <w:jc w:val="both"/>
            </w:pPr>
            <w:r w:rsidRPr="000F30F3">
              <w:t>Ocenę niedostateczną otrzymuje uczeń, który nie opanował wiadomości i umiejętności na ocenę dopuszczającą zgodnych z przyjętymi kryteriami oce</w:t>
            </w:r>
            <w:r>
              <w:t>niania, nie pracuje na lekcji,</w:t>
            </w:r>
            <w:r w:rsidRPr="000F30F3">
              <w:t xml:space="preserve"> nie  przynosi na zajęcia niezbędnych pomocy, </w:t>
            </w:r>
            <w:r>
              <w:t xml:space="preserve">ma nieusprawiedliwione nieobecności </w:t>
            </w:r>
            <w:r w:rsidRPr="000F30F3">
              <w:t>a jego postawa</w:t>
            </w:r>
            <w:r w:rsidRPr="00A35589">
              <w:t xml:space="preserve"> na zajęciach budzi zastrzeżenia.</w:t>
            </w:r>
          </w:p>
          <w:p w:rsidR="00643822" w:rsidRPr="00A35589" w:rsidRDefault="00643822" w:rsidP="002069A2">
            <w:pPr>
              <w:jc w:val="both"/>
            </w:pPr>
            <w:r w:rsidRPr="00A35589">
              <w:t>Uczniowie z orzeczeniami, opiniami z Poradni Psychologiczno- Pedagogicznej o obniżeniu i dostosowaniu wymagań są zobowiązani do prowadzenia zeszytu</w:t>
            </w:r>
            <w:r>
              <w:t>,</w:t>
            </w:r>
            <w:r w:rsidRPr="00A35589">
              <w:t xml:space="preserve"> </w:t>
            </w:r>
            <w:r w:rsidR="0023401E">
              <w:t xml:space="preserve">ćwiczeń, </w:t>
            </w:r>
            <w:bookmarkStart w:id="0" w:name="_GoBack"/>
            <w:bookmarkEnd w:id="0"/>
            <w:r w:rsidRPr="00A35589">
              <w:t>przynoszenia pomocy na lekcje i posiadaniu wiadomości i umiejętności dostosowanych do ich możliwości.</w:t>
            </w:r>
          </w:p>
          <w:p w:rsidR="00643822" w:rsidRPr="000F30F3" w:rsidRDefault="00643822" w:rsidP="002069A2">
            <w:pPr>
              <w:jc w:val="both"/>
            </w:pPr>
          </w:p>
        </w:tc>
      </w:tr>
    </w:tbl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3A" w:rsidRDefault="00733A3A" w:rsidP="00BE283B">
      <w:r>
        <w:separator/>
      </w:r>
    </w:p>
  </w:endnote>
  <w:endnote w:type="continuationSeparator" w:id="0">
    <w:p w:rsidR="00733A3A" w:rsidRDefault="00733A3A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Cambria"/>
    <w:charset w:val="00"/>
    <w:family w:val="roman"/>
    <w:pitch w:val="variable"/>
  </w:font>
  <w:font w:name="Swis721BlkCnEU-Italic">
    <w:altName w:val="Times New Roman"/>
    <w:charset w:val="00"/>
    <w:family w:val="roman"/>
    <w:pitch w:val="variable"/>
  </w:font>
  <w:font w:name="Humanst521EU-Norma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01E">
      <w:rPr>
        <w:noProof/>
      </w:rPr>
      <w:t>5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3A" w:rsidRDefault="00733A3A" w:rsidP="00BE283B">
      <w:r>
        <w:separator/>
      </w:r>
    </w:p>
  </w:footnote>
  <w:footnote w:type="continuationSeparator" w:id="0">
    <w:p w:rsidR="00733A3A" w:rsidRDefault="00733A3A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8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"/>
  </w:num>
  <w:num w:numId="4">
    <w:abstractNumId w:val="15"/>
  </w:num>
  <w:num w:numId="5">
    <w:abstractNumId w:val="14"/>
  </w:num>
  <w:num w:numId="6">
    <w:abstractNumId w:val="3"/>
  </w:num>
  <w:num w:numId="7">
    <w:abstractNumId w:val="11"/>
  </w:num>
  <w:num w:numId="8">
    <w:abstractNumId w:val="29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39"/>
  </w:num>
  <w:num w:numId="14">
    <w:abstractNumId w:val="34"/>
  </w:num>
  <w:num w:numId="15">
    <w:abstractNumId w:val="28"/>
  </w:num>
  <w:num w:numId="16">
    <w:abstractNumId w:val="5"/>
  </w:num>
  <w:num w:numId="17">
    <w:abstractNumId w:val="33"/>
  </w:num>
  <w:num w:numId="18">
    <w:abstractNumId w:val="38"/>
  </w:num>
  <w:num w:numId="19">
    <w:abstractNumId w:val="19"/>
  </w:num>
  <w:num w:numId="20">
    <w:abstractNumId w:val="18"/>
  </w:num>
  <w:num w:numId="21">
    <w:abstractNumId w:val="35"/>
  </w:num>
  <w:num w:numId="22">
    <w:abstractNumId w:val="31"/>
  </w:num>
  <w:num w:numId="23">
    <w:abstractNumId w:val="26"/>
  </w:num>
  <w:num w:numId="24">
    <w:abstractNumId w:val="10"/>
  </w:num>
  <w:num w:numId="25">
    <w:abstractNumId w:val="36"/>
  </w:num>
  <w:num w:numId="26">
    <w:abstractNumId w:val="20"/>
  </w:num>
  <w:num w:numId="27">
    <w:abstractNumId w:val="37"/>
  </w:num>
  <w:num w:numId="28">
    <w:abstractNumId w:val="30"/>
  </w:num>
  <w:num w:numId="29">
    <w:abstractNumId w:val="8"/>
  </w:num>
  <w:num w:numId="30">
    <w:abstractNumId w:val="21"/>
  </w:num>
  <w:num w:numId="31">
    <w:abstractNumId w:val="16"/>
  </w:num>
  <w:num w:numId="32">
    <w:abstractNumId w:val="24"/>
  </w:num>
  <w:num w:numId="33">
    <w:abstractNumId w:val="0"/>
  </w:num>
  <w:num w:numId="34">
    <w:abstractNumId w:val="6"/>
  </w:num>
  <w:num w:numId="35">
    <w:abstractNumId w:val="4"/>
  </w:num>
  <w:num w:numId="36">
    <w:abstractNumId w:val="13"/>
  </w:num>
  <w:num w:numId="37">
    <w:abstractNumId w:val="23"/>
  </w:num>
  <w:num w:numId="38">
    <w:abstractNumId w:val="9"/>
  </w:num>
  <w:num w:numId="39">
    <w:abstractNumId w:val="32"/>
  </w:num>
  <w:num w:numId="4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6132B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12B60"/>
    <w:rsid w:val="0023401E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D4C49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2CE6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D3407"/>
    <w:rsid w:val="003F06E2"/>
    <w:rsid w:val="003F6561"/>
    <w:rsid w:val="0040376E"/>
    <w:rsid w:val="004076A0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2B4"/>
    <w:rsid w:val="00517363"/>
    <w:rsid w:val="0052122F"/>
    <w:rsid w:val="00524057"/>
    <w:rsid w:val="00524330"/>
    <w:rsid w:val="005263A8"/>
    <w:rsid w:val="00532840"/>
    <w:rsid w:val="00552A13"/>
    <w:rsid w:val="00552B65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3822"/>
    <w:rsid w:val="00644D4D"/>
    <w:rsid w:val="006475DD"/>
    <w:rsid w:val="00662E9B"/>
    <w:rsid w:val="00666BDA"/>
    <w:rsid w:val="006712C9"/>
    <w:rsid w:val="00690D7E"/>
    <w:rsid w:val="006B3DF0"/>
    <w:rsid w:val="006D10A5"/>
    <w:rsid w:val="006D4084"/>
    <w:rsid w:val="006F6ADC"/>
    <w:rsid w:val="00702DE9"/>
    <w:rsid w:val="007033A5"/>
    <w:rsid w:val="0072303B"/>
    <w:rsid w:val="00733A3A"/>
    <w:rsid w:val="00742B7B"/>
    <w:rsid w:val="007449D3"/>
    <w:rsid w:val="00745605"/>
    <w:rsid w:val="00746D77"/>
    <w:rsid w:val="007717F0"/>
    <w:rsid w:val="00774524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26E04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97758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D50AA"/>
    <w:rsid w:val="00AF0035"/>
    <w:rsid w:val="00B056A6"/>
    <w:rsid w:val="00B11FE3"/>
    <w:rsid w:val="00B23373"/>
    <w:rsid w:val="00B32BF6"/>
    <w:rsid w:val="00B40FA4"/>
    <w:rsid w:val="00B5090E"/>
    <w:rsid w:val="00B56168"/>
    <w:rsid w:val="00B74899"/>
    <w:rsid w:val="00B756DE"/>
    <w:rsid w:val="00B81256"/>
    <w:rsid w:val="00B82D95"/>
    <w:rsid w:val="00B83613"/>
    <w:rsid w:val="00B94610"/>
    <w:rsid w:val="00B95163"/>
    <w:rsid w:val="00BA5570"/>
    <w:rsid w:val="00BA6267"/>
    <w:rsid w:val="00BB31E5"/>
    <w:rsid w:val="00BC050C"/>
    <w:rsid w:val="00BE283B"/>
    <w:rsid w:val="00BE63E9"/>
    <w:rsid w:val="00C030EA"/>
    <w:rsid w:val="00C13F37"/>
    <w:rsid w:val="00C14086"/>
    <w:rsid w:val="00C2032C"/>
    <w:rsid w:val="00C350BF"/>
    <w:rsid w:val="00C503C3"/>
    <w:rsid w:val="00C544CE"/>
    <w:rsid w:val="00C6665D"/>
    <w:rsid w:val="00C75B15"/>
    <w:rsid w:val="00C95123"/>
    <w:rsid w:val="00CA1EC3"/>
    <w:rsid w:val="00CB1C59"/>
    <w:rsid w:val="00CC1734"/>
    <w:rsid w:val="00CC208E"/>
    <w:rsid w:val="00CD51CB"/>
    <w:rsid w:val="00CE240B"/>
    <w:rsid w:val="00CE304E"/>
    <w:rsid w:val="00CE5F82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3A38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3DCE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4874"/>
    <w:rsid w:val="00E56691"/>
    <w:rsid w:val="00E6011B"/>
    <w:rsid w:val="00E601C5"/>
    <w:rsid w:val="00E62EE8"/>
    <w:rsid w:val="00E659D1"/>
    <w:rsid w:val="00E66A70"/>
    <w:rsid w:val="00E77AAC"/>
    <w:rsid w:val="00E80E78"/>
    <w:rsid w:val="00E84F3A"/>
    <w:rsid w:val="00EA2B49"/>
    <w:rsid w:val="00EB2266"/>
    <w:rsid w:val="00EC2687"/>
    <w:rsid w:val="00EC43F9"/>
    <w:rsid w:val="00EE04A1"/>
    <w:rsid w:val="00EE77CD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7CC111"/>
  <w15:docId w15:val="{52268A23-4BA4-4407-9566-653B73B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926E04"/>
    <w:pPr>
      <w:keepNext/>
      <w:jc w:val="both"/>
      <w:outlineLvl w:val="2"/>
    </w:pPr>
    <w:rPr>
      <w:rFonts w:ascii="Arial" w:hAnsi="Arial" w:cs="Arial"/>
      <w:b/>
      <w:bCs/>
      <w:sz w:val="16"/>
      <w:lang w:val="pl-PL"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26E04"/>
    <w:pPr>
      <w:keepNext/>
      <w:jc w:val="center"/>
      <w:outlineLvl w:val="3"/>
    </w:pPr>
    <w:rPr>
      <w:rFonts w:ascii="Arial" w:hAnsi="Arial" w:cs="Arial"/>
      <w:b/>
      <w:bCs/>
      <w:sz w:val="1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926E04"/>
    <w:rPr>
      <w:rFonts w:ascii="Arial" w:eastAsia="Times New Roman" w:hAnsi="Arial" w:cs="Arial"/>
      <w:b/>
      <w:bCs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926E04"/>
    <w:rPr>
      <w:rFonts w:ascii="Arial" w:eastAsia="Times New Roman" w:hAnsi="Arial" w:cs="Arial"/>
      <w:b/>
      <w:bCs/>
      <w:sz w:val="16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26E04"/>
    <w:pPr>
      <w:widowControl w:val="0"/>
      <w:autoSpaceDE w:val="0"/>
      <w:autoSpaceDN w:val="0"/>
    </w:pPr>
    <w:rPr>
      <w:rFonts w:ascii="Swis721BlkCnEU-Italic" w:eastAsia="Swis721BlkCnEU-Italic" w:hAnsi="Swis721BlkCnEU-Italic" w:cs="Swis721BlkCnEU-Italic"/>
      <w:i/>
      <w:sz w:val="15"/>
      <w:szCs w:val="15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6E04"/>
    <w:rPr>
      <w:rFonts w:ascii="Swis721BlkCnEU-Italic" w:eastAsia="Swis721BlkCnEU-Italic" w:hAnsi="Swis721BlkCnEU-Italic" w:cs="Swis721BlkCnEU-Italic"/>
      <w:i/>
      <w:sz w:val="15"/>
      <w:szCs w:val="15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6E04"/>
    <w:pPr>
      <w:widowControl w:val="0"/>
      <w:autoSpaceDE w:val="0"/>
      <w:autoSpaceDN w:val="0"/>
      <w:spacing w:after="120" w:line="480" w:lineRule="auto"/>
    </w:pPr>
    <w:rPr>
      <w:rFonts w:ascii="Humanst521EU-Normal" w:eastAsia="Humanst521EU-Normal" w:hAnsi="Humanst521EU-Normal" w:cs="Humanst521EU-Normal"/>
      <w:sz w:val="22"/>
      <w:szCs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6E04"/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paragraph" w:styleId="Bezodstpw">
    <w:name w:val="No Spacing"/>
    <w:uiPriority w:val="1"/>
    <w:qFormat/>
    <w:rsid w:val="00926E0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AE6B-0AB3-4C83-A7BD-1A9BD32A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User</cp:lastModifiedBy>
  <cp:revision>24</cp:revision>
  <cp:lastPrinted>2019-05-20T05:31:00Z</cp:lastPrinted>
  <dcterms:created xsi:type="dcterms:W3CDTF">2019-07-26T12:46:00Z</dcterms:created>
  <dcterms:modified xsi:type="dcterms:W3CDTF">2024-09-16T06:06:00Z</dcterms:modified>
</cp:coreProperties>
</file>