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9C" w:rsidRDefault="00553D9C" w:rsidP="00553D9C">
      <w:pPr>
        <w:pStyle w:val="rdtytuzkwadratemzielonym"/>
        <w:numPr>
          <w:ilvl w:val="0"/>
          <w:numId w:val="65"/>
        </w:numPr>
        <w:spacing w:after="85"/>
        <w:ind w:left="0" w:firstLine="0"/>
        <w:textAlignment w:val="auto"/>
      </w:pPr>
      <w:r>
        <w:t>Wymagania edukacyjne z fizyki w kl. 8 (Nowa podstawa programowa</w:t>
      </w:r>
      <w:r>
        <w:t xml:space="preserve"> 2024</w:t>
      </w:r>
      <w:r>
        <w:t>)</w:t>
      </w:r>
    </w:p>
    <w:p w:rsidR="00B92CD6" w:rsidRPr="00C127F1" w:rsidRDefault="00B92CD6" w:rsidP="00B92CD6">
      <w:pPr>
        <w:pStyle w:val="rozdzial"/>
      </w:pPr>
      <w:r w:rsidRPr="00C127F1">
        <w:t>Przedmioto</w:t>
      </w:r>
      <w:r w:rsidR="0062785D">
        <w:t>wy system oceniania - 2024r.</w:t>
      </w:r>
    </w:p>
    <w:p w:rsidR="00B92CD6" w:rsidRPr="00C127F1" w:rsidRDefault="00B92CD6" w:rsidP="00B92CD6">
      <w:pPr>
        <w:pStyle w:val="rdtytuzkwadratemzielonym"/>
        <w:numPr>
          <w:ilvl w:val="0"/>
          <w:numId w:val="4"/>
        </w:numPr>
        <w:spacing w:after="85"/>
      </w:pPr>
      <w:bookmarkStart w:id="0" w:name="_GoBack"/>
      <w:bookmarkEnd w:id="0"/>
      <w:r w:rsidRPr="00C127F1">
        <w:t xml:space="preserve">Szczegółowe wymagania na poszczególne stopnie (oceny) </w:t>
      </w:r>
    </w:p>
    <w:p w:rsidR="004608C5" w:rsidRPr="004608C5" w:rsidRDefault="004608C5" w:rsidP="004608C5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4608C5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4608C5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:rsidR="00B92CD6" w:rsidRPr="00556787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3628"/>
        <w:gridCol w:w="3436"/>
        <w:gridCol w:w="3231"/>
      </w:tblGrid>
      <w:tr w:rsidR="00902585" w:rsidTr="00B74762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bardzo dobry</w:t>
            </w:r>
          </w:p>
        </w:tc>
      </w:tr>
      <w:tr w:rsidR="009C60D0" w:rsidRPr="00553D9C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553D9C" w:rsidTr="00BD0596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rozróżnia pojęcia: ciało fizyczne i substancja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przelicza jednostki czasu (sekunda, minuta, godzina)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posługuje się pojęciem siły jako miarą </w:t>
            </w:r>
            <w:r w:rsidRPr="00C127F1">
              <w:lastRenderedPageBreak/>
              <w:t>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</w:t>
            </w:r>
            <w:r w:rsidR="00C96129">
              <w:t>z</w:t>
            </w:r>
            <w:r w:rsidRPr="00C127F1">
              <w:t>różnia siłę wypadkową i siłę równoważącą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innymi dziedzinami wiedzy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rozróżnia pojęcia: obserwacja, pomiar, doświadczenie</w:t>
            </w:r>
          </w:p>
          <w:p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przelicza wielokrotności i podwielokrotności (mikro-, mili-, centy-, hekto-, kilo-, mega-)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pomiarowa oraz uzasadnia, że dokładność wyniku pomiaru nie może być większa niż dokładność przyrządu pomiarowego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 xml:space="preserve">wyjaśnia, w jakim celu powtarza się pomiar kilka razy, a następnie z uzyskanych wyników </w:t>
            </w:r>
            <w:r w:rsidRPr="00C127F1">
              <w:lastRenderedPageBreak/>
              <w:t>oblicza średnią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(statyczne i dynamiczne)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stosuje poj</w:t>
            </w:r>
            <w:r w:rsidR="00C96129">
              <w:t>ę</w:t>
            </w:r>
            <w:r w:rsidRPr="00C127F1">
              <w:t>cie siły jako działania skierowanego (wektor); wskazuje wartość, kierunek i zwrot wektora siły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siłomierza albo wagi analogowej lub cyfrowej (mierzy wartość siły za pomocą siłomierza)</w:t>
            </w:r>
          </w:p>
          <w:p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jednostk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lastRenderedPageBreak/>
              <w:t>wyznaczanie siły wypadkowej i siły równoważącej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doświadczenia (wyróżnia kluczowe kroki i sposób postępowania, wskazuje rolę użytych przyrządów, ilustruje wyniki)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doświadczenia (wyróżnia kluczowe kroki i sposób postępowania, wskazuje rolę użytych przyrządów, ilustruje wyniki)</w:t>
            </w:r>
          </w:p>
          <w:p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t>kluczowe dla opisywanego problemu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>podaje przykłady wielkości fizycznych wraz z ich jednostkami w układzie SI; zapisuje podstawowe wielkości fizyczne (posługując 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wykonuje obliczenia i zapisuje wynik </w:t>
            </w:r>
            <w:r w:rsidR="004608C5" w:rsidRPr="004608C5">
              <w:t>zaokrąglony do zadanej liczby cyfr znaczących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klasyfikuje podstawowe oddziaływania występujące w przyrodzie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lastRenderedPageBreak/>
              <w:t xml:space="preserve">oblicza średnią siłę i zapisuje wynik </w:t>
            </w:r>
            <w:r w:rsidR="004608C5" w:rsidRPr="004608C5">
              <w:t>zaokrąglony do zadanej liczby cyfr znaczących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selekcjonuje informacje uzyskane z różnych źródeł, np. na lekcji, z podręcznika, z literatury popularnonaukowej, z internetu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niepewność pomiarową przy pomiarach wielokrotnych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przewiduje skutki różnego rodzaju oddziaływań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</w:tr>
      <w:tr w:rsidR="009C60D0" w:rsidRPr="00553D9C" w:rsidTr="00B74762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553D9C" w:rsidTr="00B74762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C60D0">
            <w:pPr>
              <w:pStyle w:val="tabelatresctabela"/>
            </w:pPr>
            <w:r w:rsidRPr="00C127F1"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posługuje się pojęciem napięcia powierzchniowego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podaje przykłady występowania napięcia powierzchniowego wody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określa wpływ detergentu na napięcie powierzchniowe wody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 xml:space="preserve">wymienia czynniki zmniejszające napięcie powierzchniowe wody i wskazuje sposoby </w:t>
            </w:r>
            <w:r w:rsidRPr="00D4158A">
              <w:rPr>
                <w:highlight w:val="lightGray"/>
              </w:rPr>
              <w:lastRenderedPageBreak/>
              <w:t>ich wykorzystywania w codziennym życiu człowieka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plastycznych, sprężystych, kruchych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jednostkami, podaje jej jednostkę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porównuje gęstości substancji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pomocą cylindra miarowego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opisuje wyniki i formułuje wnioski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doświadczeń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posługuje się pojęciem oddziaływań międzycząsteczkowych; odróżnia siły spójności od sił przylegania, rozpoznaje i opisuje te siły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 xml:space="preserve">wskazuje w otaczającej rzeczywistości przykłady zjawisk opisywanych za pomocą oddziaływań międzycząsteczkowych (sił spójności </w:t>
            </w:r>
            <w:r w:rsidRPr="003765B1">
              <w:rPr>
                <w:highlight w:val="lightGray"/>
              </w:rPr>
              <w:lastRenderedPageBreak/>
              <w:t>i przylegania)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wyjaśnia napięcie powierzchniowe jako skutek działania sił spójności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doświadczalnie demonstruje zjawisko napięcia powierzchniowego, korzystając z opisu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istnienie sił spójności i w tym kontekście opisuje zjawisko napięcia powierzchniowego (na wybranym przykładzie)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działanie sił spójności na przykładzie mechanizmu tworzenia się kropli; tłumaczy formowanie się kropli w kontekście istnienia sił spójności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substancji w różnych jej fazach)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wynikające z budowy mikroskopowej ciał stałych, 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oblicza i zapisuje wynik </w:t>
            </w:r>
            <w:r w:rsidR="004608C5" w:rsidRPr="004608C5">
              <w:t>zaokrąglony do zadanej liczby cyfr znaczących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przelicza wielokrotności i podwielokrotności (mikro-, mili-, centy-, dm-, kilo-, mega-); </w:t>
            </w:r>
            <w:r w:rsidRPr="00C127F1">
              <w:lastRenderedPageBreak/>
              <w:t>przelicza jednostki: masy, ciężaru, gęstości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doświadczenia); rozpoznaje proporcjonalność prostą oraz posługuje się proporcjonalnością prostą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międzycząsteczkowych,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 xml:space="preserve">wyznaczanie gęstości substancji, z jakiej wykonany jest przedmiot o kształcie regularnym za pomocą wagi i przymiaru lub o nieregularnym kształcie za pomocą wagi, cieczy i cylindra miarowego oraz wyznaczanie gęstości cieczy za pomocą wagi i cylindra miarowego, 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przedstawia wyniki i 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pomiarowej; zapisuje wynik pomiaru wraz z jego jednostką oraz z uwzględnieniem informacji o niepewności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 xml:space="preserve">ci, </w:t>
            </w:r>
            <w:r w:rsidRPr="0011106B">
              <w:lastRenderedPageBreak/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wymienia rodzaje menisków; opisuje występowanie menisku jako skutek oddziaływań międzycząsteczkowych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 xml:space="preserve">na podstawie widocznego menisku danej </w:t>
            </w:r>
            <w:r w:rsidRPr="003765B1">
              <w:rPr>
                <w:highlight w:val="lightGray"/>
              </w:rPr>
              <w:lastRenderedPageBreak/>
              <w:t>cieczy w cienkiej rurce określa, czy większe są siły przylegania czy siły spójności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nieostrym; posługuje się pojęciem twardości minerałów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mikroskopowej ciał stałych, cieczy i gazów; posługuje się pojęciem powierzchni swobodnej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mikroskopowej)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wyznacza masę ciała za pomocą wagi laboratoryjnej; szacuje rząd wielkości spodziewanego wyniku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przestrzegając zasad bezpieczeństwa; 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gęstości z odpowiednimi wartościami tabelarycznymi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zadania (lub problemy) bardziej </w:t>
            </w:r>
            <w:r w:rsidRPr="00C127F1">
              <w:lastRenderedPageBreak/>
              <w:t xml:space="preserve">złożone, ale typowe, dotyczące treści rozdziału: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ze związku gęstości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lastRenderedPageBreak/>
              <w:t>Uczeń: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22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uzasadnia kształt spadającej kropli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doświadczenia (inne niż opisane w podręczniku) wykazujące cząsteczkową budowę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D4158A">
              <w:rPr>
                <w:highlight w:val="lightGray"/>
              </w:rPr>
              <w:t>projektuje i wykonuje doświadczenie potwierdzające istnienie napięcia powierzchniowego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lastRenderedPageBreak/>
              <w:t xml:space="preserve">projektuje doświadczenia związane z wyznaczeniem gęstości cieczy oraz ciał stałych o regularnych i nieregularnych kształtach 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nietypowe (złożone) zadania,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związku gęstości z masą i objętością)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5222FB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553D9C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obrazujące działanie siły nacisku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graficznie siłę wyporu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powierzchni,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hydrostatycznego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formułuje wnioski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przelicza wielokrotności i podwielokrotności </w:t>
            </w:r>
            <w:r w:rsidRPr="00C127F1">
              <w:lastRenderedPageBreak/>
              <w:t>(mili-, centy-, kilo-, mega-)</w:t>
            </w:r>
          </w:p>
          <w:p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analizuje pływanie ciał)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przykłady zjawisk opisywanych za pomocą praw i zależności dotyczących ciśnienia hydrostatycznego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przelicza wielokrotności i podwielokrotności (centy-, hekto-, kilo-, mega-); przelicza jednostki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lastRenderedPageBreak/>
              <w:t xml:space="preserve">stosuje do obliczeń: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 xml:space="preserve">zapisuje wynik </w:t>
            </w:r>
            <w:r w:rsidR="004608C5" w:rsidRPr="004608C5">
              <w:t>zaokrąglony do zadanej liczby cyfr znaczących</w:t>
            </w:r>
            <w:r w:rsidRPr="0011106B">
              <w:t xml:space="preserve">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zanurzonych w cieczy lub gazie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Archimedesa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popularnonaukowych) dotyczących pływania ciał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 xml:space="preserve">badanie, od czego zależy wartość siły wyporu i wykazanie, że jest ona równa ciężarowi wypartej cieczy, </w:t>
            </w:r>
          </w:p>
          <w:p w:rsidR="00556787" w:rsidRDefault="00760232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 pomiaru wraz z jego jednostką oraz z uwzględnieniem informacji o niepewności; wyciąga wnioski</w:t>
            </w:r>
            <w:r w:rsidR="00556787">
              <w:t xml:space="preserve"> i formułuje prawo Archimedesa 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lastRenderedPageBreak/>
              <w:t>rozwiązuje proste (typowe) zadania lub problemy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atmosferycznego od wysokości nad poziomem morza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hydrostatycznego i ciśnienia atmosferycznego w przyrodzie i w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hydraulicznych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pojęciami siły ciężkości i gęstości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planuje i przeprowadza doświadczenie w celu zbadania zależności ciśnienia od siły nacisku i pola powierzchni; opisuje jego </w:t>
            </w:r>
            <w:r w:rsidRPr="00C127F1">
              <w:lastRenderedPageBreak/>
              <w:t>przebieg i formułuje wnioski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komunikat o swoim doświadczeniu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typowe zadania obliczeniowe z wykorzystaniem warunków pływania ciał; przeprowadza obliczenia i zapisuje wynik </w:t>
            </w:r>
            <w:r w:rsidR="004608C5" w:rsidRPr="004608C5">
              <w:t>zaokrąglony do zadanej liczby cyfr znaczących</w:t>
            </w:r>
          </w:p>
          <w:p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zadania (lub problemy)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prawa Pascala, prawa Archimedesa)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 xml:space="preserve">popularnonaukowych) dotyczących ciśnienia hydrostatycznego i atmosferycznego oraz prawa Archimedesa, a w szczególności informacjami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nadciśnienie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korzystając z wzorów na siły wyporu i ciężkości oraz gęstość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  <w:p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posługuje się informacjami pochodzącymi z analizy przeczytanych tekstów (w tym popularnonaukowych) dotyczących wykorzystywania prawa Pascala w otaczającej rzeczywistości i w życiu codziennym</w:t>
            </w:r>
          </w:p>
        </w:tc>
      </w:tr>
      <w:tr w:rsidR="00760232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9C60D0" w:rsidRPr="00553D9C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przykłady ruchu jednostajnego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jednostajny prostoliniowy; podaje jednostkę prędkości w układzie 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lastRenderedPageBreak/>
              <w:t>rozróżnia pojęcia: prędkość chwilowa i prędkość średnia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prostoliniowego jednostajnie przyspieszonego; rozpoznaje proporcjonalność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jednostajnie przyspieszonym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proporcjonalność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prędkości i przelicza jej jednostki; oblicza i zapisuje wynik </w:t>
            </w:r>
            <w:r w:rsidR="004608C5" w:rsidRPr="004608C5">
              <w:t>zaokrąglony do zadanej liczby cyfr znaczących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jednostajnym prostoliniowym droga jest wprost proporcjonalna do czasu oraz posługuje się proporcjonalnością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>jednostkowych przedziałach czasu o tę samą wartość, a ruchem jednostajnie opóźnionym – ruch, w którym wartość prędkości maleje w jednostkowych przedziałach czasu o tę samą wartość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lastRenderedPageBreak/>
              <w:t xml:space="preserve">oblicza wartość przyspieszenia wraz z jednostką; przelicza jednostki przyspieszenia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prostoliniowego jednostajnie zmiennego (przyspieszonego lub opóźnionego); oblicza prędkość końcową w ruchu jednostajnie przyspieszonym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proofErr w:type="gramStart"/>
            <w:r w:rsidRPr="00C127F1">
              <w:t>stosuje</w:t>
            </w:r>
            <w:proofErr w:type="gramEnd"/>
            <w:r w:rsidRPr="00C127F1">
              <w:t xml:space="preserve"> do obliczeń związek przyspieszenia ze zmianą prędkości i czasem, w 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29892670" wp14:editId="0D945C60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end"/>
            </w:r>
            <w:r w:rsidRPr="00C127F1">
              <w:t xml:space="preserve">); wyznacza prędkość końcową 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jednostajnego;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prostoliniowego jednostajnie przyspieszonego; porównuje ruchy na podstawie nachylenia wykresu prędkości do osi 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ruchu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:rsidR="002B11B2" w:rsidRDefault="002B11B2" w:rsidP="002B11B2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pomiarów i obliczeń w tabeli </w:t>
            </w:r>
            <w:r w:rsidR="00CE3543" w:rsidRPr="00CE3543">
              <w:t>zaokrągl</w:t>
            </w:r>
            <w:r w:rsidR="00CE3543">
              <w:t>one</w:t>
            </w:r>
            <w:r w:rsidR="00CE3543" w:rsidRPr="00CE3543">
              <w:t xml:space="preserve"> do zadanej liczby cyfr znaczących</w:t>
            </w:r>
            <w:r>
              <w:t xml:space="preserve">; formułuje wnioski 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lastRenderedPageBreak/>
              <w:t xml:space="preserve">rozwiązuje proste (typowe) zadania lub problemy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prędkości i drogi od czasu w ruchu prostoliniowym 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11106B" w:rsidRDefault="00D3238A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pomiarowe)</w:t>
            </w:r>
          </w:p>
          <w:p w:rsidR="00D3238A" w:rsidRPr="00B02B7F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  <w:rPr>
                <w:highlight w:val="lightGray"/>
              </w:rPr>
            </w:pPr>
            <w:r w:rsidRPr="00B02B7F">
              <w:rPr>
                <w:highlight w:val="lightGray"/>
              </w:rPr>
              <w:t>wyznacza przyspieszenie z wykresów zależności prędkości od czasu dla ruchu prostoliniowego jednostajnie zmiennego (przyspieszonego lub opóźnionego)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</w:t>
            </w:r>
            <w:r w:rsidRPr="0011106B">
              <w:lastRenderedPageBreak/>
              <w:t>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2E119FB2" wp14:editId="75282FA6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rPr>
                <w:position w:val="2"/>
              </w:rPr>
              <w:instrText xml:space="preserve"> </w:instrText>
            </w:r>
            <w:r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R</w:t>
            </w:r>
            <w:r w:rsidRPr="0011106B">
              <w:rPr>
                <w:position w:val="2"/>
              </w:rPr>
              <w:t xml:space="preserve">wyznacza 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48E13D09" wp14:editId="03EF639B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przyspieszonym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nieparzyste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proofErr w:type="gramStart"/>
            <w:r>
              <w:t>rozwiązuje</w:t>
            </w:r>
            <w:proofErr w:type="gramEnd"/>
            <w:r>
              <w:t xml:space="preserve"> proste zadania z wykorzystaniem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6EB33C6C" wp14:editId="6D21E674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546835C6" wp14:editId="3CE3CFE9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R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prostoliniowego jednostajnie przyspieszonego</w:t>
            </w:r>
          </w:p>
          <w:p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prostoliniowych: jednostajnego i</w:t>
            </w:r>
            <w:r w:rsidRPr="00C127F1">
              <w:t> </w:t>
            </w:r>
            <w:r w:rsidRPr="0011106B">
              <w:t>jednostajnie zmiennego</w:t>
            </w:r>
          </w:p>
          <w:p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lastRenderedPageBreak/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jednostajnie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C127F1" w:rsidRDefault="00D3238A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planuje i demonstruje doświadczenie związane z badaniem ruchu z użyciem przyrządów analogowych lub cyfrowych, programu do analizy materiałów wideo; opisuje przebieg doświadczenia, analizuje i ocenia wyniki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analizuje wykres zależności prędkości od czasu dla ruchu prostoliniowego jednostajnie przyspieszonego z prędkością początkową i na tej podstawie wyprowadza wzór na obliczanie drogi w tym ruchu</w:t>
            </w:r>
          </w:p>
          <w:p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rozwiązuje nietypowe, złożone zadania(problemy)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zależności drogi i prędkości od czasu dla ruchów prostoliniowych: jednostajnego i jednostajnie zmiennego)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posługuje się informacjami pochodzącymi z analizy przeczytanych tekstów (w tym popularnonaukowych) dotyczących ruchu (np. urządzeń do pomiaru </w:t>
            </w:r>
            <w:r w:rsidRPr="00C127F1">
              <w:lastRenderedPageBreak/>
              <w:t xml:space="preserve">przyspieszenia) 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553D9C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oporów ruchu; podaje ich przykłady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lastRenderedPageBreak/>
              <w:t>rozpoznaje zależność rosnącą bądź malejącą oraz proporcjonalność prostą na podstawie danych z tabeli; posługuje się proporcjonalnością prostą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przestrzegając zasad bezpieczeństwa; zapisuje wyniki i formułuje wnioski</w:t>
            </w:r>
          </w:p>
          <w:p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posługuje się pojęciem masy </w:t>
            </w:r>
            <w:r w:rsidR="00D4158A">
              <w:t xml:space="preserve">i wyjaśnia jej związek z </w:t>
            </w:r>
            <w:r w:rsidRPr="00C127F1">
              <w:t>bezwładności</w:t>
            </w:r>
            <w:r w:rsidR="00D4158A">
              <w:t>ą</w:t>
            </w:r>
            <w:r w:rsidRPr="00C127F1">
              <w:t xml:space="preserve"> ciał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posługując się trzecią zasadą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przykłady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lastRenderedPageBreak/>
              <w:t>stosuje pojęcie siły tarcia jako działania skierowanego (wektor); wskazuje wartość, kierunek i zwrot siły tarcia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wprawiane w ruch (lub poruszające się) oraz wyznacza i rysuje siłę wypadkową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niepożądane oraz wymienia sposoby zmniejszania lub zwiększania oporów ruchu (tarcia)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 xml:space="preserve">oblicza i zapisuje wynik </w:t>
            </w:r>
            <w:r w:rsidR="00CE3543" w:rsidRPr="00CE3543">
              <w:t>zaokrąglony do zadanej liczby cyfr znaczących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:rsidR="005C330A" w:rsidRDefault="005C330A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oddziaływania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66680" w:rsidRPr="00C127F1" w:rsidRDefault="00D66680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wyznacza i rysuje siłę wypadkową sił o różnych kierunkach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wzór na obliczanie siły tarcia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analizuje wyniki przeprowadzonych doświadczeń (oblicza przyspieszenia ze wzoru na drogę w ruchu jednostajnie przyspieszonym i zapisuje wyniki </w:t>
            </w:r>
            <w:r w:rsidR="00CE3543" w:rsidRPr="00CE3543">
              <w:t>zaokrąglon</w:t>
            </w:r>
            <w:r w:rsidR="00CE3543">
              <w:t>e</w:t>
            </w:r>
            <w:r w:rsidR="00CE3543" w:rsidRPr="00CE3543">
              <w:t xml:space="preserve"> do zadanej liczby cyfr znaczących</w:t>
            </w:r>
            <w:r w:rsidRPr="00C127F1">
              <w:t>; wskazuje czynniki istotne i nieistotne dla przebiegu doświadczeń)</w:t>
            </w:r>
          </w:p>
          <w:p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 xml:space="preserve">(z wykorzystaniem: pierwszej zasady dynamiki Newtona, związku między siłą i masą a przyspieszeniem i związku przyspieszenia ze zmianą prędkości i czasem, </w:t>
            </w:r>
            <w:r w:rsidRPr="00C127F1">
              <w:lastRenderedPageBreak/>
              <w:t>w którym ta zmiana nastąpiła () oraz dotyczące: swobodnego spadania ciał, wzajemnego oddziaływania ciał, występowania oporów ruchu)</w:t>
            </w:r>
          </w:p>
          <w:p w:rsidR="009C60D0" w:rsidRP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posługuje się informacjami pochodzącymi z analizy tekstów (w tym popularnonaukowych) dotyczących: bezwładności ciał, spadania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powietrza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027AB" w:rsidRPr="00C127F1" w:rsidRDefault="009027AB" w:rsidP="009027AB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028AE194" wp14:editId="24FC9208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end"/>
            </w:r>
            <w:r w:rsidRPr="00C127F1">
              <w:t>)</w:t>
            </w:r>
          </w:p>
          <w:p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pochodzącymi z analizy tekstów (w tym popularnonaukowych) dotyczących przykładów wykorzystania zasady odrzutu w przyrodzie i technice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9C60D0" w:rsidRPr="00553D9C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kierunek działającej na ciało siły jest zgodny z kierunkiem jego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sprężystości wraz z ich jednostką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energię kinetyczną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mechanicznej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lastRenderedPageBreak/>
              <w:t>posługuje się pojęciem energii mechanicznej jako sumy energii kinetycznej i potencjalnej; podaje zasadę zachowania energii mechanicznej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energia potencjalna ciężkości, korzystając z opisu doświadczenia i przestrzegając zasad bezpieczeństwa; opisuje wyniki i formułuje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posługuje się pojęciem mocy wraz z jej jednostką w układzie SI; wyjaśnia, kiedy urządzenie ma moc 1 W; porównuje moce różnych urządzeń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upuszczonego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proofErr w:type="gramStart"/>
            <w:r w:rsidRPr="00C127F1">
              <w:t>podaje</w:t>
            </w:r>
            <w:proofErr w:type="gramEnd"/>
            <w:r w:rsidRPr="00C127F1">
              <w:t xml:space="preserve">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1F20063D" wp14:editId="2A9C0FC1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kinetycznej ciała od jego masy i prędkości; podaje wzór na energię kinetyczną i stosuje go do 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kinetycznej ciała (opisuje wykonaną pracę jako zmianę energii); wyznacza zmianę energii kinetycznej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:rsidR="00791A66" w:rsidRPr="00C127F1" w:rsidRDefault="00791A66" w:rsidP="00D4158A">
            <w:pPr>
              <w:pStyle w:val="tabelapunktytabela"/>
              <w:spacing w:after="11"/>
              <w:ind w:firstLine="0"/>
            </w:pPr>
            <w:r w:rsidRPr="00C127F1">
              <w:t xml:space="preserve">do opisu zjawisk oraz wskazuje ich przykłady </w:t>
            </w:r>
            <w:r w:rsidRPr="00C127F1">
              <w:lastRenderedPageBreak/>
              <w:t>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:rsidR="00791A66" w:rsidRPr="00C127F1" w:rsidRDefault="00791A66" w:rsidP="00D4158A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grawitacji i energię kinetyczną,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 xml:space="preserve">wykonuje obliczenia i zapisuje wynik </w:t>
            </w:r>
            <w:r w:rsidR="00CE3543" w:rsidRPr="00CE3543">
              <w:t>zaokrąglony do zadanej liczby cyfr znaczących</w:t>
            </w:r>
          </w:p>
          <w:p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energii, wzorów na energię potencjalną grawitacji i energię kinetyczną) 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informacje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kierunek działającej na ciało siły nie jest zgodny z kierunkiem jego ruchu 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proofErr w:type="gramStart"/>
            <w:r w:rsidRPr="00C127F1">
              <w:t>podaje</w:t>
            </w:r>
            <w:proofErr w:type="gramEnd"/>
            <w:r w:rsidRPr="00C127F1">
              <w:t>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56220640" wp14:editId="72569B57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wysokości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energia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kinetyczna; opisuje ich przebieg i</w:t>
            </w:r>
            <w:r w:rsidRPr="00C127F1">
              <w:t> </w:t>
            </w:r>
            <w:r w:rsidRPr="0011106B">
              <w:t>wyniki, formu</w:t>
            </w:r>
            <w:r w:rsidRPr="00C127F1">
              <w:t>ł</w:t>
            </w:r>
            <w:r w:rsidRPr="0011106B">
              <w:t>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 xml:space="preserve">rozwiązuje zadania (lub problemy) bardziej złożone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 oraz wzorów na energię potencjalną grawitacji i energię kinetyczną)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lastRenderedPageBreak/>
              <w:t>posługuje się informacjami pochodzącymi z analizy tekstów (w tym popularnonaukowych) dotyczących: energii i pracy, mocy różnych urządzeń, energii potencjalnej i kinetycznej oraz zasady zachowania energii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wykazuje, że praca wykonana podczas zmiany prędkości ciała jest równa zmianie jego energii kinetycznej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rozwiązuje złożone zadania obliczeniowe: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(wykorzystuje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geometryczną interpretację pracy) oraz mocy;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wzorów na energię potencjalną grawitacji i energię kinetyczną;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rozwiązuje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9C60D0" w:rsidRPr="00553D9C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wewnętrznej spowodowanej wykonaniem pracy lub przepływem ciepła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lastRenderedPageBreak/>
              <w:t>podaje warunek i kierunek przepływu ciepła; stwierdza, że ciała o równej temperaturze pozostają w stanie równowagi termicznej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przewodnictwie; wskazuje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doświadczenie ilustrujące ten sposób przekazywania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skupienia: topnienie, krzepnięcie, parowanie, skraplanie, sublimację, resublimację oraz wskazuje przykłady tych zjawisk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ciepła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ciepła parowania; porównuje te wartości dla różnych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lastRenderedPageBreak/>
              <w:t>badanie zjawiska przewodnictwa cieplnego,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obserwacji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nieobliczeniowe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>
              <w:t> </w:t>
            </w:r>
            <w:r w:rsidRPr="00C127F1">
              <w:t>– związane z energią wewnętrzną i zmianami stanów skupienia ciał: topnieniem lub krzepnięciem, parowaniem (wrzeniem) lub skraplaniem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korzystając z jego opisu; opisuje wyniki doświadczenia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jednostkę energii wewnętrznej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lastRenderedPageBreak/>
              <w:t>wykazuje, że energię układu (energię wewnętrzną) można zmienić, wykonując nad nim pracę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Kelvina); wskazuje jednostkę temperatury w układzie SI; podaje temperaturę zera bezwzględnego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między ciałami o tej samej temperaturze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wewn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wewnętrznej spowodowane wykonaniem pracy i przepływem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materiałów jest lepszym przewodnikiem ciepła (planuje, przeprowadza i opisuje doświadczenie)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lastRenderedPageBreak/>
              <w:t>opisuje ruch cieczy i gazów w zjawisku konwekcji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przyrostu temperatury jest wprost proporcjonalna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analizuje zjawiska: topnienia i krzepnięcia, sublimacji i resublimacji, wrzenia i skraplania jako procesy, w których dostarczanie energii w postaci ciepła nie powoduje zmiany temperatury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bezpostaciowych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ilustruje zmiany temperatury w procesie topnienia dla ciał krystalicznych i bezpostaciowych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</w:t>
            </w:r>
            <w:r w:rsidRPr="00C127F1">
              <w:lastRenderedPageBreak/>
              <w:t xml:space="preserve">i formułuje wnioski 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rozwiązuje proste zadania (w tym obliczeniowe)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61781ECF" wp14:editId="5842CE1A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15E9B2A9" wp14:editId="4177B07F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, zależności </w:t>
            </w:r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27BACD55" wp14:editId="4463FD83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</m:t>
              </m:r>
              <w:proofErr w:type="gramStart"/>
              <m:r>
                <m:rPr>
                  <m:sty m:val="p"/>
                </m:rPr>
                <w:rPr>
                  <w:rFonts w:ascii="Cambria Math" w:hAnsi="Cambria Math"/>
                </w:rPr>
                <m:t>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="00512715" w:rsidRPr="00C127F1">
              <w:t xml:space="preserve"> </w:t>
            </w:r>
            <w:r w:rsidRPr="00547B85">
              <w:fldChar w:fldCharType="end"/>
            </w:r>
            <w:r w:rsidRPr="00C127F1">
              <w:t xml:space="preserve"> oraz</w:t>
            </w:r>
            <w:proofErr w:type="gramEnd"/>
            <w:r w:rsidRPr="00C127F1">
              <w:t xml:space="preserve">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parowania); wykonuje obliczenia i zapisuje wynik </w:t>
            </w:r>
            <w:r w:rsidR="00CE3543" w:rsidRPr="00CE3543">
              <w:t>zaokrąglony do zadanej liczby cyfr znaczących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informacje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wyjaśnia wyniki doświadczenia modelowego (ilustracja zmiany zachowania się cząsteczek ciała stałego w wyniku wykonania nad nim pracy)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opisuje możliwość wykonania pracy kosztem energii wewnętrznej; podaje przykłady </w:t>
            </w:r>
            <w:r w:rsidRPr="00C127F1">
              <w:lastRenderedPageBreak/>
              <w:t>praktycznego wykorzystania tego procesu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przewodnictwa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doświadczenia, że przyrost temperatury ciała jest wprost proporcjonalny do ilości</w:t>
            </w:r>
            <w:r>
              <w:t xml:space="preserve"> </w:t>
            </w:r>
            <w:r w:rsidRPr="00C127F1">
              <w:t>pobranego przez ciało ciepła oraz, że ilość pobranego przez ciało ciepła do uzyskania danego przyrostu temperatury jest wprost proporcjonalna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rysuje wykres zależności temperatury od czasu ogrzewania lub oziębiania odpowiednio dla zjawiska topnienia lub krzepnięcia na podstawie danych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topnienia wraz z jednostką w układzie SI; podaje wzór na ciepło topnienia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parowania wraz z jednostką w układzie SI; podaje wzór na ciepło parowania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analizuje wyniki doświadczenia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planuje i przeprowadza doświadczenie </w:t>
            </w:r>
            <w:r w:rsidRPr="00C127F1">
              <w:lastRenderedPageBreak/>
              <w:t>w celu wykazania, że do uzyskania jednakowego przyrostu temperatury różnych substancji o tej samej masie potrzebna jest inna ilość ciepła; opisuje przebieg doświadczenia i ocenia je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rozwiązuje bardziej złożone zadania lub problemy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 xml:space="preserve">posługuje się informacjami pochodzącymi z analizy tekstów (w tym popularnonaukowych) dotyczących: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codziennym) przewodnictwa cieplnego (przewodników i izolatorów ciepła),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 xml:space="preserve">dy konwekcyjne), </w:t>
            </w:r>
          </w:p>
          <w:p w:rsidR="00791A66" w:rsidRPr="00C127F1" w:rsidRDefault="00791A66" w:rsidP="001B791D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kolektory słoneczne),</w:t>
            </w:r>
          </w:p>
          <w:p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>a w</w:t>
            </w:r>
            <w:r w:rsidR="00830A97">
              <w:t xml:space="preserve"> </w:t>
            </w:r>
            <w:r w:rsidRPr="00C127F1">
              <w:t xml:space="preserve">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czyli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sporządza i analizuje wykres zależności temperatury od czasu ogrzewania lub oziębiania dla zjawiska topnienia lub krzepnięcia na podstawie danych (opisuje osie układu współrzędnych, uwzględnia niepewności pomiarów)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 xml:space="preserve">rozwiązuje złożone zadania obliczeniowe </w:t>
            </w:r>
            <w:r w:rsidRPr="00C127F1">
              <w:lastRenderedPageBreak/>
              <w:t>związane ze zmianą energii wewnętrznej; szacuje rząd wielkości spodziewanego wyniku i na tej podstawie ocenia wyniki 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 xml:space="preserve">rozwiązuje nietypowe zadania (problemy)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Termodynamika</w:t>
            </w:r>
          </w:p>
          <w:p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:rsidR="00372F9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br w:type="page"/>
      </w:r>
    </w:p>
    <w:sectPr w:rsidR="00372F93" w:rsidSect="00E35AE6">
      <w:headerReference w:type="default" r:id="rId17"/>
      <w:footerReference w:type="default" r:id="rId18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0CF" w:rsidRDefault="000470CF" w:rsidP="00BD0596">
      <w:r>
        <w:separator/>
      </w:r>
    </w:p>
  </w:endnote>
  <w:endnote w:type="continuationSeparator" w:id="0">
    <w:p w:rsidR="000470CF" w:rsidRDefault="000470CF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0E8" w:rsidRDefault="008350E8" w:rsidP="00BD0596">
    <w:pPr>
      <w:pStyle w:val="stopkaSc"/>
    </w:pPr>
    <w:r>
      <w:t>Autor: Teresa Szalewska © Copyright by Nowa Era Sp. z o.o. • www.nowaera.pl</w:t>
    </w:r>
  </w:p>
  <w:p w:rsidR="008350E8" w:rsidRPr="00A65C11" w:rsidRDefault="008350E8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0CF" w:rsidRDefault="000470CF" w:rsidP="00BD0596">
      <w:r>
        <w:separator/>
      </w:r>
    </w:p>
  </w:footnote>
  <w:footnote w:type="continuationSeparator" w:id="0">
    <w:p w:rsidR="000470CF" w:rsidRDefault="000470CF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0E8" w:rsidRDefault="008350E8">
    <w:pPr>
      <w:pStyle w:val="Nagwek"/>
    </w:pP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BAE2C" wp14:editId="3020BEFB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8350E8" w:rsidRPr="00A65C11" w:rsidRDefault="008350E8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53D9C" w:rsidRPr="00553D9C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17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BAE2C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-.15pt;margin-top:27.8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D9sNeTdAAAA&#10;BgEAAA8AAABkcnMvZG93bnJldi54bWxMjk1PwzAQRO9I/Adrkbi1Tosa2hCnggLHIPVD6nVrL0lo&#10;vA6x2wZ+PeYEx9GM3rx8OdhWnKn3jWMFk3ECglg703ClYLd9Hc1B+IBssHVMCr7Iw7K4vsoxM+7C&#10;azpvQiUihH2GCuoQukxKr2uy6MeuI47du+sthhj7SpoeLxFuWzlNklRabDg+1NjRqiZ93JysgreP&#10;sjmWL0/7Uq+nq2/efepnRKVub4bHBxCBhvA3hl/9qA5FdDq4ExsvWgWjuzhUMJulIGJ9P1mAOCiY&#10;L1KQRS7/6xc/AAAA//8DAFBLAQItABQABgAIAAAAIQC2gziS/gAAAOEBAAATAAAAAAAAAAAAAAAA&#10;AAAAAABbQ29udGVudF9UeXBlc10ueG1sUEsBAi0AFAAGAAgAAAAhADj9If/WAAAAlAEAAAsAAAAA&#10;AAAAAAAAAAAALwEAAF9yZWxzLy5yZWxzUEsBAi0AFAAGAAgAAAAhACMuNWUEAgAA5AMAAA4AAAAA&#10;AAAAAAAAAAAALgIAAGRycy9lMm9Eb2MueG1sUEsBAi0AFAAGAAgAAAAhAD9sNeTdAAAABgEAAA8A&#10;AAAAAAAAAAAAAAAAXgQAAGRycy9kb3ducmV2LnhtbFBLBQYAAAAABAAEAPMAAABoBQAAAAA=&#10;" fillcolor="#002060" stroked="f">
              <v:textbox inset=",0,,0">
                <w:txbxContent>
                  <w:p w:rsidR="008350E8" w:rsidRPr="00A65C11" w:rsidRDefault="008350E8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553D9C" w:rsidRPr="00553D9C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17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BDF5E8" wp14:editId="0A09AC39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8350E8" w:rsidRDefault="008350E8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:rsidR="008350E8" w:rsidRPr="00A65C11" w:rsidRDefault="008350E8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BDF5E8" id="Pole tekstowe 473" o:spid="_x0000_s1027" type="#_x0000_t202" style="position:absolute;margin-left:35.9pt;margin-top:27.9pt;width:122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GGrn&#10;6N4AAAAIAQAADwAAAGRycy9kb3ducmV2LnhtbEyPzU7DMBCE70i8g7VI3KiTRmlDyKaKkEBCXKAt&#10;dyc2cVT/hNhtwtuznOC0Gs1o5ttqt1jDLmoKg3cI6SoBplzn5eB6hOPh6a4AFqJwUhjvFMK3CrCr&#10;r68qUUo/u3d12ceeUYkLpUDQMY4l56HTyoqw8qNy5H36yYpIcuq5nMRM5dbwdZJsuBWDowUtRvWo&#10;VXfany3CR8yyvJnXz+2xObz4ty+jX08G8fZmaR6ARbXEvzD84hM61MTU+rOTgRmEbUrkESHP6ZKf&#10;pdsNsBahuC+A1xX//0D9AwAA//8DAFBLAQItABQABgAIAAAAIQC2gziS/gAAAOEBAAATAAAAAAAA&#10;AAAAAAAAAAAAAABbQ29udGVudF9UeXBlc10ueG1sUEsBAi0AFAAGAAgAAAAhADj9If/WAAAAlAEA&#10;AAsAAAAAAAAAAAAAAAAALwEAAF9yZWxzLy5yZWxzUEsBAi0AFAAGAAgAAAAhAEtCO8oJAgAA7AMA&#10;AA4AAAAAAAAAAAAAAAAALgIAAGRycy9lMm9Eb2MueG1sUEsBAi0AFAAGAAgAAAAhABhq5+jeAAAA&#10;CAEAAA8AAAAAAAAAAAAAAAAAYwQAAGRycy9kb3ducmV2LnhtbFBLBQYAAAAABAAEAPMAAABuBQAA&#10;AAA=&#10;" fillcolor="#b1c903" stroked="f">
              <v:textbox inset=",0,,0">
                <w:txbxContent>
                  <w:p w:rsidR="008350E8" w:rsidRDefault="008350E8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:rsidR="008350E8" w:rsidRPr="00A65C11" w:rsidRDefault="008350E8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8350E8" w:rsidRDefault="008350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4.4pt;height:14.4pt" o:bullet="t">
        <v:imagedata r:id="rId1" o:title=""/>
      </v:shape>
    </w:pict>
  </w:numPicBullet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0"/>
  </w:num>
  <w:num w:numId="4">
    <w:abstractNumId w:val="36"/>
  </w:num>
  <w:num w:numId="5">
    <w:abstractNumId w:val="24"/>
  </w:num>
  <w:num w:numId="6">
    <w:abstractNumId w:val="34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5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3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2"/>
  </w:num>
  <w:num w:numId="31">
    <w:abstractNumId w:val="17"/>
  </w:num>
  <w:num w:numId="32">
    <w:abstractNumId w:val="37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39"/>
  </w:num>
  <w:num w:numId="37">
    <w:abstractNumId w:val="38"/>
  </w:num>
  <w:num w:numId="38">
    <w:abstractNumId w:val="14"/>
  </w:num>
  <w:num w:numId="39">
    <w:abstractNumId w:val="32"/>
  </w:num>
  <w:num w:numId="40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3"/>
  </w:num>
  <w:num w:numId="50">
    <w:abstractNumId w:val="31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1"/>
  </w:num>
  <w:num w:numId="5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5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 w:numId="65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E6"/>
    <w:rsid w:val="000470CF"/>
    <w:rsid w:val="000D74B3"/>
    <w:rsid w:val="000E7C17"/>
    <w:rsid w:val="00122AB9"/>
    <w:rsid w:val="001B791D"/>
    <w:rsid w:val="00272901"/>
    <w:rsid w:val="002B11B2"/>
    <w:rsid w:val="002F23D6"/>
    <w:rsid w:val="00365356"/>
    <w:rsid w:val="00372F93"/>
    <w:rsid w:val="003765B1"/>
    <w:rsid w:val="003949A2"/>
    <w:rsid w:val="004608C5"/>
    <w:rsid w:val="00512715"/>
    <w:rsid w:val="005222FB"/>
    <w:rsid w:val="00553D9C"/>
    <w:rsid w:val="00556787"/>
    <w:rsid w:val="005C0F60"/>
    <w:rsid w:val="005C330A"/>
    <w:rsid w:val="005E72D7"/>
    <w:rsid w:val="0060697A"/>
    <w:rsid w:val="006233D8"/>
    <w:rsid w:val="0062785D"/>
    <w:rsid w:val="00760232"/>
    <w:rsid w:val="00767F47"/>
    <w:rsid w:val="00791A66"/>
    <w:rsid w:val="00804806"/>
    <w:rsid w:val="00830A97"/>
    <w:rsid w:val="008350E8"/>
    <w:rsid w:val="00885CAA"/>
    <w:rsid w:val="00902585"/>
    <w:rsid w:val="009027AB"/>
    <w:rsid w:val="00913A52"/>
    <w:rsid w:val="00990B1B"/>
    <w:rsid w:val="009C60D0"/>
    <w:rsid w:val="00A65C11"/>
    <w:rsid w:val="00A948B5"/>
    <w:rsid w:val="00AA4615"/>
    <w:rsid w:val="00AF6613"/>
    <w:rsid w:val="00B02B7F"/>
    <w:rsid w:val="00B374D0"/>
    <w:rsid w:val="00B52C19"/>
    <w:rsid w:val="00B73B15"/>
    <w:rsid w:val="00B74762"/>
    <w:rsid w:val="00B92CD6"/>
    <w:rsid w:val="00BD0596"/>
    <w:rsid w:val="00C0057D"/>
    <w:rsid w:val="00C7648F"/>
    <w:rsid w:val="00C96129"/>
    <w:rsid w:val="00CA4C91"/>
    <w:rsid w:val="00CE3543"/>
    <w:rsid w:val="00D3238A"/>
    <w:rsid w:val="00D4158A"/>
    <w:rsid w:val="00D66680"/>
    <w:rsid w:val="00E35AE6"/>
    <w:rsid w:val="00ED323E"/>
    <w:rsid w:val="00EE3083"/>
    <w:rsid w:val="00EF64B8"/>
    <w:rsid w:val="00F44A1C"/>
    <w:rsid w:val="00F55B9B"/>
    <w:rsid w:val="00F61ECD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0A2C495-459E-4D94-9940-43CEFD0B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AD4B0-E1E5-4E89-A608-231493D8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6635</Words>
  <Characters>39810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barba</cp:lastModifiedBy>
  <cp:revision>10</cp:revision>
  <dcterms:created xsi:type="dcterms:W3CDTF">2024-07-29T13:37:00Z</dcterms:created>
  <dcterms:modified xsi:type="dcterms:W3CDTF">2025-01-10T06:58:00Z</dcterms:modified>
</cp:coreProperties>
</file>